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78" w:rsidRDefault="00883F78" w:rsidP="00883F78">
      <w:pPr>
        <w:ind w:right="-1050"/>
        <w:rPr>
          <w:noProof/>
          <w:lang w:eastAsia="lv-LV"/>
        </w:rPr>
      </w:pPr>
      <w:r w:rsidRPr="00737656">
        <w:rPr>
          <w:noProof/>
          <w:lang w:eastAsia="lv-LV"/>
        </w:rPr>
        <w:drawing>
          <wp:inline distT="0" distB="0" distL="0" distR="0">
            <wp:extent cx="5486400" cy="103822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038225"/>
                    </a:xfrm>
                    <a:prstGeom prst="rect">
                      <a:avLst/>
                    </a:prstGeom>
                    <a:noFill/>
                    <a:ln>
                      <a:noFill/>
                    </a:ln>
                  </pic:spPr>
                </pic:pic>
              </a:graphicData>
            </a:graphic>
          </wp:inline>
        </w:drawing>
      </w:r>
    </w:p>
    <w:p w:rsidR="00883F78" w:rsidRDefault="00883F78" w:rsidP="00883F78">
      <w:pPr>
        <w:spacing w:after="0"/>
        <w:ind w:right="-1050" w:firstLine="720"/>
        <w:jc w:val="both"/>
        <w:rPr>
          <w:rFonts w:ascii="Times New Roman" w:hAnsi="Times New Roman"/>
          <w:sz w:val="24"/>
          <w:szCs w:val="24"/>
        </w:rPr>
      </w:pPr>
      <w:bookmarkStart w:id="0" w:name="_GoBack"/>
      <w:bookmarkEnd w:id="0"/>
    </w:p>
    <w:p w:rsidR="00883F78" w:rsidRDefault="00883F78" w:rsidP="00883F78">
      <w:pPr>
        <w:spacing w:after="0"/>
        <w:ind w:right="-1050" w:firstLine="720"/>
        <w:jc w:val="both"/>
        <w:rPr>
          <w:rFonts w:ascii="Times New Roman" w:hAnsi="Times New Roman"/>
          <w:sz w:val="24"/>
          <w:szCs w:val="24"/>
        </w:rPr>
      </w:pPr>
    </w:p>
    <w:p w:rsidR="00883F78" w:rsidRDefault="00883F78" w:rsidP="00883F78">
      <w:pPr>
        <w:spacing w:after="0"/>
        <w:ind w:right="-1050" w:firstLine="720"/>
        <w:jc w:val="both"/>
        <w:rPr>
          <w:rFonts w:ascii="Times New Roman" w:hAnsi="Times New Roman"/>
          <w:sz w:val="24"/>
          <w:szCs w:val="24"/>
        </w:rPr>
      </w:pPr>
      <w:r>
        <w:rPr>
          <w:rFonts w:ascii="Times New Roman" w:hAnsi="Times New Roman"/>
          <w:sz w:val="24"/>
          <w:szCs w:val="24"/>
        </w:rPr>
        <w:t xml:space="preserve">9.un 10.klašu skolēnus vairāk pievērsties jautājumam par savas karjeras attīstību rosināja KAA pasākums 29.11.2018. </w:t>
      </w:r>
      <w:r w:rsidRPr="00465B9D">
        <w:rPr>
          <w:rFonts w:ascii="Times New Roman" w:hAnsi="Times New Roman"/>
          <w:b/>
          <w:sz w:val="28"/>
          <w:szCs w:val="28"/>
        </w:rPr>
        <w:t>“Tiešie un netiešie mērķi- kā mācības šodien ietekmē profesionālo karjeru nākotnē</w:t>
      </w:r>
      <w:r>
        <w:rPr>
          <w:rFonts w:ascii="Times New Roman" w:hAnsi="Times New Roman"/>
          <w:b/>
          <w:sz w:val="28"/>
          <w:szCs w:val="28"/>
        </w:rPr>
        <w:t xml:space="preserve">”. </w:t>
      </w:r>
      <w:r>
        <w:rPr>
          <w:rFonts w:ascii="Times New Roman" w:hAnsi="Times New Roman"/>
          <w:sz w:val="24"/>
          <w:szCs w:val="24"/>
        </w:rPr>
        <w:t xml:space="preserve">Pasākuma ietvaros visi 9.-10.klašu skolēni piedalījās lektora, karjeras konsultanta Mārtiņa </w:t>
      </w:r>
      <w:proofErr w:type="spellStart"/>
      <w:r>
        <w:rPr>
          <w:rFonts w:ascii="Times New Roman" w:hAnsi="Times New Roman"/>
          <w:sz w:val="24"/>
          <w:szCs w:val="24"/>
        </w:rPr>
        <w:t>Geidas</w:t>
      </w:r>
      <w:proofErr w:type="spellEnd"/>
      <w:r>
        <w:rPr>
          <w:rFonts w:ascii="Times New Roman" w:hAnsi="Times New Roman"/>
          <w:sz w:val="24"/>
          <w:szCs w:val="24"/>
        </w:rPr>
        <w:t xml:space="preserve"> vadītajā lekcijā, bet pēc tam darbs notika trīs grupās.</w:t>
      </w:r>
      <w:r>
        <w:rPr>
          <w:rFonts w:ascii="Times New Roman" w:hAnsi="Times New Roman"/>
          <w:b/>
          <w:sz w:val="28"/>
          <w:szCs w:val="28"/>
        </w:rPr>
        <w:t xml:space="preserve"> </w:t>
      </w:r>
      <w:r w:rsidRPr="009F5656">
        <w:rPr>
          <w:rFonts w:ascii="Times New Roman" w:hAnsi="Times New Roman"/>
          <w:sz w:val="24"/>
          <w:szCs w:val="24"/>
        </w:rPr>
        <w:t>Lekcij</w:t>
      </w:r>
      <w:r>
        <w:rPr>
          <w:rFonts w:ascii="Times New Roman" w:hAnsi="Times New Roman"/>
          <w:sz w:val="24"/>
          <w:szCs w:val="24"/>
        </w:rPr>
        <w:t>ā, balstoties uz situāciju analīzi, skolēni uzzināja</w:t>
      </w:r>
      <w:r w:rsidRPr="009F5656">
        <w:rPr>
          <w:rFonts w:ascii="Times New Roman" w:hAnsi="Times New Roman"/>
          <w:sz w:val="24"/>
          <w:szCs w:val="24"/>
        </w:rPr>
        <w:t xml:space="preserve"> </w:t>
      </w:r>
      <w:r>
        <w:rPr>
          <w:rFonts w:ascii="Times New Roman" w:hAnsi="Times New Roman"/>
          <w:sz w:val="24"/>
          <w:szCs w:val="24"/>
        </w:rPr>
        <w:t xml:space="preserve">par dažādiem mītiem un patiesībām karjeras lēmumu pieņemšanā un to īstenošanas plānošanā. Interesanta izvērtās diskusija par to, kas  un kāpēc var būt spēcīgākā motivācija mācībās un karjeras izvēlē. Tas rosināja domāt par savām vērtībām, rakstura īpašībām un to, kā tas var ietekmēt karjeras izvēli un attīstību. </w:t>
      </w:r>
    </w:p>
    <w:p w:rsidR="00883F78" w:rsidRDefault="00883F78" w:rsidP="00883F78">
      <w:pPr>
        <w:spacing w:after="0"/>
        <w:ind w:right="-1050"/>
        <w:jc w:val="both"/>
        <w:rPr>
          <w:rFonts w:ascii="Times New Roman" w:hAnsi="Times New Roman"/>
          <w:sz w:val="24"/>
          <w:szCs w:val="24"/>
        </w:rPr>
      </w:pPr>
      <w:r w:rsidRPr="00C6585F">
        <w:rPr>
          <w:rFonts w:ascii="Times New Roman" w:hAnsi="Times New Roman"/>
          <w:sz w:val="24"/>
          <w:szCs w:val="24"/>
        </w:rPr>
        <w:t>Gatavojoties šim pasākumam,</w:t>
      </w:r>
      <w:r>
        <w:rPr>
          <w:rFonts w:ascii="Times New Roman" w:hAnsi="Times New Roman"/>
          <w:sz w:val="24"/>
          <w:szCs w:val="24"/>
        </w:rPr>
        <w:t xml:space="preserve"> skolēni veica pašvērtējumu, izpildot lektora sagatavoto anketu “Karjeras izvēle”. Tas ikvienu rosināja atsaukt atmiņā visas profesijas un nodarbošanās, kuras ir interesējušas līdz šim brīdim, mīļākās spēles, apkārtējo cilvēku un notikumu ietekmi uz nākotnes profesijas izvēli, mīļākos mācību priekšmetus, vērtīgākās rakstura īpašības sevī un citos cilvēkos. Grupu nodarbībās </w:t>
      </w:r>
      <w:proofErr w:type="spellStart"/>
      <w:r>
        <w:rPr>
          <w:rFonts w:ascii="Times New Roman" w:hAnsi="Times New Roman"/>
          <w:sz w:val="24"/>
          <w:szCs w:val="24"/>
        </w:rPr>
        <w:t>M.Geida</w:t>
      </w:r>
      <w:proofErr w:type="spellEnd"/>
      <w:r>
        <w:rPr>
          <w:rFonts w:ascii="Times New Roman" w:hAnsi="Times New Roman"/>
          <w:sz w:val="24"/>
          <w:szCs w:val="24"/>
        </w:rPr>
        <w:t xml:space="preserve"> mācīja saskatīt kopsakarības un analizēt informāciju, ko sniedz pašvērtējuma anketas, padomāt par to, kā šobrīd šķietami nelietderīga informācija, ko mācās skolā, var noderēt nākotnē, kā šodien pieļautās kļūdas var ietekmēt karjeras lēmuma pieņemšanu un mērķu sasniegšanu nākotnē. </w:t>
      </w:r>
    </w:p>
    <w:p w:rsidR="00883F78" w:rsidRDefault="00883F78" w:rsidP="00883F78">
      <w:pPr>
        <w:spacing w:after="0"/>
        <w:ind w:right="-1050"/>
        <w:jc w:val="both"/>
        <w:rPr>
          <w:rFonts w:ascii="Times New Roman" w:hAnsi="Times New Roman"/>
          <w:sz w:val="24"/>
          <w:szCs w:val="24"/>
        </w:rPr>
      </w:pPr>
      <w:r>
        <w:rPr>
          <w:rFonts w:ascii="Times New Roman" w:hAnsi="Times New Roman"/>
          <w:sz w:val="24"/>
          <w:szCs w:val="24"/>
        </w:rPr>
        <w:t xml:space="preserve">Pēc skolēnu atsauksmēm var secināt, ka nodarbība jauniešus neatstāja vienaldzīgus- lielākajai daļai tā šķita ļoti interesanta un noderīga, patika lektora spilgtā personība, spēja iesaistīt dalībniekus diskusijā, dažiem lekcija nelikās īsti saprotama vai vilšanos sagādāja tas, ka netika sniegta konkrēta atbilde par atbilstošāko nākotnes profesiju. Katrā ziņā pasākuma dalībnieki tika rosināti kritiski domāt, attīstīt </w:t>
      </w:r>
      <w:proofErr w:type="spellStart"/>
      <w:r>
        <w:rPr>
          <w:rFonts w:ascii="Times New Roman" w:hAnsi="Times New Roman"/>
          <w:sz w:val="24"/>
          <w:szCs w:val="24"/>
        </w:rPr>
        <w:t>pašvadības</w:t>
      </w:r>
      <w:proofErr w:type="spellEnd"/>
      <w:r>
        <w:rPr>
          <w:rFonts w:ascii="Times New Roman" w:hAnsi="Times New Roman"/>
          <w:sz w:val="24"/>
          <w:szCs w:val="24"/>
        </w:rPr>
        <w:t xml:space="preserve"> prasmes,  domāt par savu mācīšanos: kā es mācos, kāpēc man tas ir svarīgi, ko vēl man vajadzētu apgūt, lai sasniegtu izvirzītos mērķus.</w:t>
      </w:r>
    </w:p>
    <w:p w:rsidR="00883F78" w:rsidRDefault="00883F78" w:rsidP="00883F78">
      <w:pPr>
        <w:spacing w:after="0"/>
        <w:ind w:right="-1050"/>
        <w:jc w:val="both"/>
        <w:rPr>
          <w:rFonts w:ascii="Times New Roman" w:hAnsi="Times New Roman"/>
          <w:sz w:val="24"/>
          <w:szCs w:val="24"/>
        </w:rPr>
      </w:pPr>
    </w:p>
    <w:p w:rsidR="00883F78" w:rsidRDefault="00883F78" w:rsidP="00883F78">
      <w:pPr>
        <w:spacing w:after="0"/>
        <w:ind w:right="-1050"/>
        <w:jc w:val="both"/>
        <w:rPr>
          <w:rFonts w:ascii="Times New Roman" w:hAnsi="Times New Roman"/>
          <w:sz w:val="24"/>
          <w:szCs w:val="24"/>
        </w:rPr>
      </w:pPr>
    </w:p>
    <w:p w:rsidR="00883F78" w:rsidRDefault="00883F78" w:rsidP="00883F78">
      <w:pPr>
        <w:ind w:right="-1050"/>
        <w:jc w:val="both"/>
        <w:rPr>
          <w:rFonts w:ascii="Times New Roman" w:hAnsi="Times New Roman"/>
          <w:sz w:val="24"/>
          <w:szCs w:val="24"/>
        </w:rPr>
      </w:pPr>
      <w:r>
        <w:rPr>
          <w:rFonts w:ascii="Times New Roman" w:hAnsi="Times New Roman"/>
          <w:noProof/>
          <w:sz w:val="24"/>
          <w:szCs w:val="24"/>
          <w:lang w:eastAsia="lv-LV"/>
        </w:rPr>
        <w:lastRenderedPageBreak/>
        <w:drawing>
          <wp:inline distT="0" distB="0" distL="0" distR="0">
            <wp:extent cx="1895475" cy="2743200"/>
            <wp:effectExtent l="0" t="0" r="9525" b="0"/>
            <wp:docPr id="4" name="Attēls 4" descr="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274320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lv-LV"/>
        </w:rPr>
        <w:drawing>
          <wp:inline distT="0" distB="0" distL="0" distR="0">
            <wp:extent cx="1885950" cy="2762250"/>
            <wp:effectExtent l="0" t="0" r="0" b="0"/>
            <wp:docPr id="3" name="Attēls 3" descr="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2762250"/>
                    </a:xfrm>
                    <a:prstGeom prst="rect">
                      <a:avLst/>
                    </a:prstGeom>
                    <a:noFill/>
                    <a:ln>
                      <a:noFill/>
                    </a:ln>
                  </pic:spPr>
                </pic:pic>
              </a:graphicData>
            </a:graphic>
          </wp:inline>
        </w:drawing>
      </w:r>
      <w:r>
        <w:rPr>
          <w:rFonts w:ascii="Times New Roman" w:hAnsi="Times New Roman"/>
          <w:sz w:val="24"/>
          <w:szCs w:val="24"/>
        </w:rPr>
        <w:t xml:space="preserve">  </w:t>
      </w:r>
    </w:p>
    <w:p w:rsidR="00883F78" w:rsidRDefault="00883F78" w:rsidP="00883F78">
      <w:pPr>
        <w:ind w:right="-1050"/>
        <w:jc w:val="both"/>
        <w:rPr>
          <w:rFonts w:ascii="Times New Roman" w:hAnsi="Times New Roman"/>
          <w:sz w:val="24"/>
          <w:szCs w:val="24"/>
        </w:rPr>
      </w:pPr>
    </w:p>
    <w:p w:rsidR="00883F78" w:rsidRDefault="00883F78" w:rsidP="00883F78">
      <w:pPr>
        <w:ind w:right="-1050"/>
        <w:jc w:val="both"/>
        <w:rPr>
          <w:rFonts w:ascii="Times New Roman" w:hAnsi="Times New Roman"/>
          <w:sz w:val="24"/>
          <w:szCs w:val="24"/>
        </w:rPr>
      </w:pPr>
      <w:r>
        <w:rPr>
          <w:rFonts w:ascii="Times New Roman" w:hAnsi="Times New Roman"/>
          <w:noProof/>
          <w:sz w:val="24"/>
          <w:szCs w:val="24"/>
          <w:lang w:eastAsia="lv-LV"/>
        </w:rPr>
        <w:drawing>
          <wp:inline distT="0" distB="0" distL="0" distR="0">
            <wp:extent cx="1943100" cy="2838450"/>
            <wp:effectExtent l="0" t="0" r="0" b="0"/>
            <wp:docPr id="2" name="Attēls 2" descr="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283845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lv-LV"/>
        </w:rPr>
        <w:drawing>
          <wp:inline distT="0" distB="0" distL="0" distR="0">
            <wp:extent cx="1933575" cy="2809875"/>
            <wp:effectExtent l="0" t="0" r="9525" b="9525"/>
            <wp:docPr id="1" name="Attēls 1" descr="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G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2809875"/>
                    </a:xfrm>
                    <a:prstGeom prst="rect">
                      <a:avLst/>
                    </a:prstGeom>
                    <a:noFill/>
                    <a:ln>
                      <a:noFill/>
                    </a:ln>
                  </pic:spPr>
                </pic:pic>
              </a:graphicData>
            </a:graphic>
          </wp:inline>
        </w:drawing>
      </w:r>
    </w:p>
    <w:p w:rsidR="00883F78" w:rsidRPr="00396E73" w:rsidRDefault="00883F78" w:rsidP="00883F78">
      <w:pPr>
        <w:ind w:right="-1050"/>
        <w:jc w:val="center"/>
        <w:rPr>
          <w:rFonts w:ascii="Times New Roman" w:hAnsi="Times New Roman"/>
        </w:rPr>
      </w:pPr>
      <w:proofErr w:type="spellStart"/>
      <w:r w:rsidRPr="00396E73">
        <w:rPr>
          <w:rFonts w:ascii="Times New Roman" w:hAnsi="Times New Roman"/>
        </w:rPr>
        <w:t>M.Geidas</w:t>
      </w:r>
      <w:proofErr w:type="spellEnd"/>
      <w:r w:rsidRPr="00396E73">
        <w:rPr>
          <w:rFonts w:ascii="Times New Roman" w:hAnsi="Times New Roman"/>
        </w:rPr>
        <w:t xml:space="preserve"> vadītās n</w:t>
      </w:r>
      <w:r>
        <w:rPr>
          <w:rFonts w:ascii="Times New Roman" w:hAnsi="Times New Roman"/>
        </w:rPr>
        <w:t>o</w:t>
      </w:r>
      <w:r w:rsidRPr="00396E73">
        <w:rPr>
          <w:rFonts w:ascii="Times New Roman" w:hAnsi="Times New Roman"/>
        </w:rPr>
        <w:t>darbības “Tiešie un netiešie mērķi- kā mācības šodien ietekmē profesionālo karjeru nākotnē”</w:t>
      </w:r>
      <w:r>
        <w:rPr>
          <w:rFonts w:ascii="Times New Roman" w:hAnsi="Times New Roman"/>
        </w:rPr>
        <w:t xml:space="preserve"> 9.-10.klašu skolēniem</w:t>
      </w:r>
    </w:p>
    <w:p w:rsidR="00F50B16" w:rsidRDefault="00F50B16"/>
    <w:sectPr w:rsidR="00F50B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78"/>
    <w:rsid w:val="00883F78"/>
    <w:rsid w:val="00F50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9540D-D0A1-44B0-85B0-D248E7A2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3F78"/>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1371</Words>
  <Characters>782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dc:creator>
  <cp:keywords/>
  <dc:description/>
  <cp:lastModifiedBy>VandaM</cp:lastModifiedBy>
  <cp:revision>1</cp:revision>
  <dcterms:created xsi:type="dcterms:W3CDTF">2019-01-10T10:41:00Z</dcterms:created>
  <dcterms:modified xsi:type="dcterms:W3CDTF">2019-01-10T10:42:00Z</dcterms:modified>
</cp:coreProperties>
</file>